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F2197D"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" filled="f" stroked="f" strokeweight=".5pt">
                    <v:textbox inset="0,0,0,0">
                      <w:txbxContent>
                        <w:p w14:paraId="6722D03E" w14:textId="3D642429" w:rsidR="0021204B" w:rsidRPr="00381A67" w:rsidRDefault="00A50294"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government agencies.  For instance, any US business that pays tax will have regulatory requirements to the Inland Revenue Service (IRS) and any US business that has employees will have regulatory obligations with the Department of Labor</w:t>
      </w:r>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A9BF793" w:rsidR="00616F76" w:rsidRPr="00616F76" w:rsidRDefault="00616F76" w:rsidP="00616F76">
      <w:pPr>
        <w:rPr>
          <w:lang w:val="en-AU"/>
        </w:rPr>
      </w:pPr>
      <w:r w:rsidRPr="00616F76">
        <w:rPr>
          <w:lang w:val="en-AU"/>
        </w:rPr>
        <w:t>However, in the wake of the</w:t>
      </w:r>
      <w:r w:rsidR="00E15C88">
        <w:rPr>
          <w:lang w:val="en-AU"/>
        </w:rPr>
        <w:t xml:space="preserve"> widespread m</w:t>
      </w:r>
      <w:r w:rsidR="00F2197D">
        <w:rPr>
          <w:lang w:val="en-AU"/>
        </w:rPr>
        <w:t>alpractic</w:t>
      </w:r>
      <w:r w:rsidR="00E15C88">
        <w:rPr>
          <w:lang w:val="en-AU"/>
        </w:rPr>
        <w:t>es that lead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36B88B0B"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w:t>
      </w:r>
      <w:r w:rsidR="00D27DAE">
        <w:rPr>
          <w:lang w:val="en-AU"/>
        </w:rPr>
        <w:t xml:space="preserve">In many cases,  regulators are taking a “guilty until proven innocent” position.  For instance, in the event of a GDPR claim, the </w:t>
      </w:r>
      <w:r w:rsidR="00F2197D">
        <w:rPr>
          <w:lang w:val="en-AU"/>
        </w:rPr>
        <w:t>burde</w:t>
      </w:r>
      <w:r w:rsidR="00D27DAE">
        <w:rPr>
          <w:lang w:val="en-AU"/>
        </w:rPr>
        <w:t>n of proof of compliance lies entirely upon the organization against whom a claim has been filed.</w:t>
      </w:r>
    </w:p>
    <w:p w14:paraId="52E059BB" w14:textId="77777777" w:rsidR="00616F76" w:rsidRPr="00616F76" w:rsidRDefault="00616F76" w:rsidP="00616F76">
      <w:pPr>
        <w:spacing w:before="0" w:after="0"/>
        <w:rPr>
          <w:lang w:val="en-AU"/>
        </w:rPr>
      </w:pPr>
    </w:p>
    <w:p w14:paraId="501F5456" w14:textId="6C519927" w:rsidR="00616F76" w:rsidRDefault="00616F76" w:rsidP="00616F76">
      <w:pPr>
        <w:spacing w:before="0" w:after="0"/>
        <w:rPr>
          <w:lang w:val="en-AU"/>
        </w:rPr>
      </w:pPr>
      <w:r w:rsidRPr="00616F76">
        <w:rPr>
          <w:lang w:val="en-AU"/>
        </w:rPr>
        <w:t xml:space="preserve">Maintaining compliance documentation in a central data store is an obvious measure that an organization can establish.  However, regulators require far more than a simple collection of relevant documents.  For </w:t>
      </w:r>
      <w:r w:rsidR="00F2197D">
        <w:rPr>
          <w:lang w:val="en-AU"/>
        </w:rPr>
        <w:t>example</w:t>
      </w:r>
      <w:r w:rsidRPr="00616F76">
        <w:rPr>
          <w:lang w:val="en-AU"/>
        </w:rPr>
        <w:t xml:space="preserve">, </w:t>
      </w:r>
      <w:r w:rsidR="00F2197D">
        <w:rPr>
          <w:lang w:val="en-AU"/>
        </w:rPr>
        <w:t>this regulator’s</w:t>
      </w:r>
      <w:r w:rsidR="00E95A39">
        <w:rPr>
          <w:lang w:val="en-AU"/>
        </w:rPr>
        <w:t xml:space="preserve"> </w:t>
      </w:r>
      <w:r w:rsidRPr="00616F76">
        <w:rPr>
          <w:lang w:val="en-AU"/>
        </w:rPr>
        <w:t>guidelines clearly articulate the high bar for data integrity (our emphasis):</w:t>
      </w:r>
      <w:bookmarkStart w:id="0" w:name="_GoBack"/>
      <w:bookmarkEnd w:id="0"/>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w:t>
      </w:r>
      <w:r w:rsidRPr="00FA6762">
        <w:rPr>
          <w:i/>
          <w:iCs/>
          <w:lang w:val="en-AU"/>
        </w:rPr>
        <w:lastRenderedPageBreak/>
        <w:t xml:space="preserve">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7BB00525" w:rsidR="000B5585" w:rsidRDefault="00D04BD8" w:rsidP="000B5585">
      <w:pPr>
        <w:pStyle w:val="ListParagraph"/>
      </w:pPr>
      <w:r w:rsidRPr="0017258E">
        <w:t>Significant email trails</w:t>
      </w:r>
      <w:r w:rsidR="00A315AD">
        <w:t>,</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lastRenderedPageBreak/>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An on-premise deployment supports organizations whose security procedures prohibit the storage of sensitive information in the cloud.   In this scenario, all elements of the ProvenDB Compliance Vault are installed within the customer’s data center.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center since </w:t>
      </w:r>
      <w:r w:rsidR="0026055D">
        <w:rPr>
          <w:lang w:val="en-AU"/>
        </w:rPr>
        <w:t>the signature must be listed</w:t>
      </w:r>
      <w:r w:rsidRPr="009D4AD7">
        <w:rPr>
          <w:lang w:val="en-AU"/>
        </w:rPr>
        <w:t xml:space="preserve"> on a public Blockchain.  However, these signatures are 256-bit numbers which cannot </w:t>
      </w:r>
      <w:r w:rsidRPr="009D4AD7">
        <w:rPr>
          <w:lang w:val="en-AU"/>
        </w:rPr>
        <w:lastRenderedPageBreak/>
        <w:t xml:space="preserve">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r w:rsidR="00E83C34">
        <w:t>To</w:t>
      </w:r>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39DDC" w14:textId="77777777" w:rsidR="00A50294" w:rsidRDefault="00A50294">
      <w:pPr>
        <w:spacing w:after="0" w:line="240" w:lineRule="auto"/>
      </w:pPr>
      <w:r>
        <w:separator/>
      </w:r>
    </w:p>
    <w:p w14:paraId="442BF8E2" w14:textId="77777777" w:rsidR="00A50294" w:rsidRDefault="00A50294"/>
  </w:endnote>
  <w:endnote w:type="continuationSeparator" w:id="0">
    <w:p w14:paraId="6DD76EE5" w14:textId="77777777" w:rsidR="00A50294" w:rsidRDefault="00A50294">
      <w:pPr>
        <w:spacing w:after="0" w:line="240" w:lineRule="auto"/>
      </w:pPr>
      <w:r>
        <w:continuationSeparator/>
      </w:r>
    </w:p>
    <w:p w14:paraId="7CC634CF" w14:textId="77777777" w:rsidR="00A50294" w:rsidRDefault="00A502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Arial"/>
    <w:charset w:val="00"/>
    <w:family w:val="auto"/>
    <w:pitch w:val="variable"/>
    <w:sig w:usb0="E00002FF" w:usb1="5000205B" w:usb2="00000020" w:usb3="00000000" w:csb0="0000019F" w:csb1="00000000"/>
  </w:font>
  <w:font w:name="Poppins Medium">
    <w:altName w:val="Mangal"/>
    <w:charset w:val="4D"/>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altName w:val="Mangal"/>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01428" w14:textId="77777777" w:rsidR="00A50294" w:rsidRDefault="00A50294">
      <w:pPr>
        <w:spacing w:after="0" w:line="240" w:lineRule="auto"/>
      </w:pPr>
      <w:r>
        <w:separator/>
      </w:r>
    </w:p>
    <w:p w14:paraId="59C20944" w14:textId="77777777" w:rsidR="00A50294" w:rsidRDefault="00A50294"/>
  </w:footnote>
  <w:footnote w:type="continuationSeparator" w:id="0">
    <w:p w14:paraId="39D900A2" w14:textId="77777777" w:rsidR="00A50294" w:rsidRDefault="00A50294">
      <w:pPr>
        <w:spacing w:after="0" w:line="240" w:lineRule="auto"/>
      </w:pPr>
      <w:r>
        <w:continuationSeparator/>
      </w:r>
    </w:p>
    <w:p w14:paraId="54FA215D" w14:textId="77777777" w:rsidR="00A50294" w:rsidRDefault="00A50294"/>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F2197D">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F2197D">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F2197D">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21CE8"/>
    <w:rsid w:val="00035074"/>
    <w:rsid w:val="000B5585"/>
    <w:rsid w:val="000C1708"/>
    <w:rsid w:val="000E3216"/>
    <w:rsid w:val="001126E4"/>
    <w:rsid w:val="00147BD3"/>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50294"/>
    <w:rsid w:val="00AF639A"/>
    <w:rsid w:val="00B07E77"/>
    <w:rsid w:val="00B36606"/>
    <w:rsid w:val="00B94CF5"/>
    <w:rsid w:val="00BC3C43"/>
    <w:rsid w:val="00BE044B"/>
    <w:rsid w:val="00BE6EB9"/>
    <w:rsid w:val="00C24C6E"/>
    <w:rsid w:val="00D04BD8"/>
    <w:rsid w:val="00D14C5A"/>
    <w:rsid w:val="00D27DAE"/>
    <w:rsid w:val="00D82575"/>
    <w:rsid w:val="00D91396"/>
    <w:rsid w:val="00DA781E"/>
    <w:rsid w:val="00E15C88"/>
    <w:rsid w:val="00E75881"/>
    <w:rsid w:val="00E83C34"/>
    <w:rsid w:val="00E8527A"/>
    <w:rsid w:val="00E95A39"/>
    <w:rsid w:val="00F2197D"/>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F6CDE-4462-4B57-906B-4B41E6FD4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Pages>
  <Words>1279</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5</cp:revision>
  <dcterms:created xsi:type="dcterms:W3CDTF">2020-02-06T23:26:00Z</dcterms:created>
  <dcterms:modified xsi:type="dcterms:W3CDTF">2020-02-09T06:01:00Z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